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0" w:rsidRDefault="00BA5647" w:rsidP="005B64C9">
      <w:pPr>
        <w:jc w:val="both"/>
        <w:rPr>
          <w:rFonts w:ascii="Tahoma" w:eastAsia="Times New Roman" w:hAnsi="Tahoma" w:cs="Tahoma"/>
          <w:color w:val="002060"/>
          <w:sz w:val="24"/>
          <w:szCs w:val="24"/>
          <w:lang w:val="mn-MN"/>
        </w:rPr>
      </w:pPr>
      <w:r>
        <w:rPr>
          <w:rFonts w:ascii="Tahoma" w:eastAsia="Times New Roman" w:hAnsi="Tahoma" w:cs="Tahoma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-1270</wp:posOffset>
            </wp:positionV>
            <wp:extent cx="1238250" cy="1238250"/>
            <wp:effectExtent l="19050" t="0" r="0" b="0"/>
            <wp:wrapSquare wrapText="bothSides"/>
            <wp:docPr id="2" name="Picture 1" descr="C:\Users\Gansukh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sukh\Desktop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ХӨРӨНГӨ ОРУУЛАЛТ       Нийслэл хот</w:t>
      </w:r>
      <w:r w:rsidR="009D2370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од 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20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</w:rPr>
        <w:t>1</w:t>
      </w:r>
      <w:r>
        <w:rPr>
          <w:rFonts w:ascii="Tahoma" w:eastAsia="Times New Roman" w:hAnsi="Tahoma" w:cs="Tahoma"/>
          <w:color w:val="002060"/>
          <w:sz w:val="24"/>
          <w:szCs w:val="24"/>
        </w:rPr>
        <w:t>4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онд </w:t>
      </w:r>
      <w:r w:rsid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4</w:t>
      </w:r>
      <w:r w:rsidR="00447BA5" w:rsidRPr="009D2370">
        <w:rPr>
          <w:rFonts w:ascii="Tahoma" w:eastAsia="Times New Roman" w:hAnsi="Tahoma" w:cs="Tahoma"/>
          <w:color w:val="002060"/>
          <w:sz w:val="24"/>
          <w:szCs w:val="24"/>
        </w:rPr>
        <w:t>.</w:t>
      </w:r>
      <w:r>
        <w:rPr>
          <w:rFonts w:ascii="Tahoma" w:eastAsia="Times New Roman" w:hAnsi="Tahoma" w:cs="Tahoma"/>
          <w:color w:val="002060"/>
          <w:sz w:val="24"/>
          <w:szCs w:val="24"/>
        </w:rPr>
        <w:t>5</w:t>
      </w:r>
      <w:r w:rsidR="00726FD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их наяд 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төгрөгийн хөрөнгө 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оруулалт хийгдсэн бөгөөд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үүний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2060"/>
          <w:sz w:val="24"/>
          <w:szCs w:val="24"/>
        </w:rPr>
        <w:t>11</w:t>
      </w:r>
      <w:r w:rsidR="00C162ED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.</w:t>
      </w:r>
      <w:r>
        <w:rPr>
          <w:rFonts w:ascii="Tahoma" w:eastAsia="Times New Roman" w:hAnsi="Tahoma" w:cs="Tahoma"/>
          <w:color w:val="002060"/>
          <w:sz w:val="24"/>
          <w:szCs w:val="24"/>
        </w:rPr>
        <w:t>3</w:t>
      </w:r>
      <w:r w:rsidR="002F29C9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хувийг гадаадын</w:t>
      </w:r>
      <w:r w:rsidR="00A52109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A5210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шууд хөрөнгө оруулалт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, </w:t>
      </w:r>
      <w:r>
        <w:rPr>
          <w:rFonts w:ascii="Tahoma" w:eastAsia="Times New Roman" w:hAnsi="Tahoma" w:cs="Tahoma"/>
          <w:color w:val="002060"/>
          <w:sz w:val="24"/>
          <w:szCs w:val="24"/>
        </w:rPr>
        <w:t>88</w:t>
      </w:r>
      <w:r w:rsidR="002F29C9" w:rsidRPr="009D2370">
        <w:rPr>
          <w:rFonts w:ascii="Tahoma" w:eastAsia="Times New Roman" w:hAnsi="Tahoma" w:cs="Tahoma"/>
          <w:color w:val="002060"/>
          <w:sz w:val="24"/>
          <w:szCs w:val="24"/>
        </w:rPr>
        <w:t>.</w:t>
      </w:r>
      <w:r>
        <w:rPr>
          <w:rFonts w:ascii="Tahoma" w:eastAsia="Times New Roman" w:hAnsi="Tahoma" w:cs="Tahoma"/>
          <w:color w:val="002060"/>
          <w:sz w:val="24"/>
          <w:szCs w:val="24"/>
        </w:rPr>
        <w:t>7</w:t>
      </w:r>
      <w:r w:rsidR="00447BA5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F71F5B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хувийг дотоодын хөрөнгө оруулалт эзэлж байна.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</w:p>
    <w:p w:rsidR="009D2370" w:rsidRDefault="009D2370" w:rsidP="005B64C9">
      <w:pPr>
        <w:jc w:val="both"/>
        <w:rPr>
          <w:rFonts w:ascii="Tahoma" w:eastAsia="Times New Roman" w:hAnsi="Tahoma" w:cs="Tahoma"/>
          <w:color w:val="002060"/>
          <w:sz w:val="24"/>
          <w:szCs w:val="24"/>
          <w:lang w:val="mn-MN"/>
        </w:rPr>
      </w:pPr>
    </w:p>
    <w:p w:rsidR="00F71F5B" w:rsidRPr="009D2370" w:rsidRDefault="00F71F5B" w:rsidP="005B64C9">
      <w:pPr>
        <w:jc w:val="both"/>
        <w:rPr>
          <w:rFonts w:ascii="Tahoma" w:eastAsia="Times New Roman" w:hAnsi="Tahoma" w:cs="Tahoma"/>
          <w:color w:val="002060"/>
          <w:sz w:val="24"/>
          <w:szCs w:val="24"/>
          <w:lang w:val="mn-MN"/>
        </w:rPr>
      </w:pPr>
      <w:r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Нийт хөрөнгө оруулалтын хэмжээг 20</w:t>
      </w:r>
      <w:r w:rsidR="00A5210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1</w:t>
      </w:r>
      <w:r w:rsidR="00BA5647">
        <w:rPr>
          <w:rFonts w:ascii="Tahoma" w:eastAsia="Times New Roman" w:hAnsi="Tahoma" w:cs="Tahoma"/>
          <w:color w:val="002060"/>
          <w:sz w:val="24"/>
          <w:szCs w:val="24"/>
        </w:rPr>
        <w:t>3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онтой харьцуулахад </w:t>
      </w:r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BA5647">
        <w:rPr>
          <w:rFonts w:ascii="Tahoma" w:eastAsia="Times New Roman" w:hAnsi="Tahoma" w:cs="Tahoma"/>
          <w:color w:val="002060"/>
          <w:sz w:val="24"/>
          <w:szCs w:val="24"/>
        </w:rPr>
        <w:t>5</w:t>
      </w:r>
      <w:r w:rsidR="000406D4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.</w:t>
      </w:r>
      <w:r w:rsidR="00BA5647">
        <w:rPr>
          <w:rFonts w:ascii="Tahoma" w:eastAsia="Times New Roman" w:hAnsi="Tahoma" w:cs="Tahoma"/>
          <w:color w:val="002060"/>
          <w:sz w:val="24"/>
          <w:szCs w:val="24"/>
        </w:rPr>
        <w:t>6</w:t>
      </w:r>
      <w:r w:rsidR="00A5210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  <w:r w:rsidR="00C162ED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хувиар</w:t>
      </w:r>
      <w:r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буюу </w:t>
      </w:r>
      <w:r w:rsidR="00423368">
        <w:rPr>
          <w:rFonts w:ascii="Tahoma" w:eastAsia="Times New Roman" w:hAnsi="Tahoma" w:cs="Tahoma"/>
          <w:color w:val="002060"/>
          <w:sz w:val="24"/>
          <w:szCs w:val="24"/>
        </w:rPr>
        <w:t>269</w:t>
      </w:r>
      <w:r w:rsidR="006279D0" w:rsidRPr="009D2370">
        <w:rPr>
          <w:rFonts w:ascii="Tahoma" w:eastAsia="Times New Roman" w:hAnsi="Tahoma" w:cs="Tahoma"/>
          <w:color w:val="002060"/>
          <w:sz w:val="24"/>
          <w:szCs w:val="24"/>
        </w:rPr>
        <w:t>.</w:t>
      </w:r>
      <w:r w:rsid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9</w:t>
      </w:r>
      <w:r w:rsidR="00BB2395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6279D0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тэрбум төгрөгөөр 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>буурчээ</w:t>
      </w:r>
      <w:r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. Энэ онд гадаадын хөрөнгө оруулалтын хэмжээ өмнөх оноос</w:t>
      </w:r>
      <w:r w:rsidR="006279D0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>71</w:t>
      </w:r>
      <w:r w:rsidR="00BB2395" w:rsidRPr="009D2370">
        <w:rPr>
          <w:rFonts w:ascii="Tahoma" w:eastAsia="Times New Roman" w:hAnsi="Tahoma" w:cs="Tahoma"/>
          <w:color w:val="002060"/>
          <w:sz w:val="24"/>
          <w:szCs w:val="24"/>
        </w:rPr>
        <w:t>.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>5</w:t>
      </w:r>
      <w:r w:rsidR="00BB2395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="00BB2395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хувиар</w:t>
      </w:r>
      <w:r w:rsidR="00726FD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буурсан бол 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дотоодын хөрөнгө оруулалтын</w:t>
      </w:r>
      <w:r w:rsidR="000857A1"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r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хэмжээ</w:t>
      </w:r>
      <w:r w:rsidR="006279D0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>33</w:t>
      </w:r>
      <w:r w:rsidR="006279D0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.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>9</w:t>
      </w:r>
      <w:r w:rsidR="006279D0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  <w:r w:rsidR="00726FD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>хувиар</w:t>
      </w:r>
      <w:r w:rsidR="00A52109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  <w:r w:rsidR="00423368">
        <w:rPr>
          <w:rFonts w:ascii="Tahoma" w:eastAsia="Times New Roman" w:hAnsi="Tahoma" w:cs="Tahoma"/>
          <w:color w:val="002060"/>
          <w:sz w:val="24"/>
          <w:szCs w:val="24"/>
          <w:lang w:val="mn-MN"/>
        </w:rPr>
        <w:t>өссөн байна.</w:t>
      </w:r>
      <w:r w:rsidR="00827601" w:rsidRPr="009D2370">
        <w:rPr>
          <w:rFonts w:ascii="Tahoma" w:eastAsia="Times New Roman" w:hAnsi="Tahoma" w:cs="Tahoma"/>
          <w:color w:val="002060"/>
          <w:sz w:val="24"/>
          <w:szCs w:val="24"/>
          <w:lang w:val="mn-MN"/>
        </w:rPr>
        <w:t xml:space="preserve"> </w:t>
      </w:r>
    </w:p>
    <w:p w:rsidR="00F71F5B" w:rsidRPr="009D2370" w:rsidRDefault="00F71F5B" w:rsidP="00F71F5B">
      <w:pPr>
        <w:jc w:val="both"/>
        <w:rPr>
          <w:rFonts w:ascii="Tahoma" w:hAnsi="Tahoma" w:cs="Tahoma"/>
          <w:color w:val="002060"/>
          <w:sz w:val="24"/>
          <w:szCs w:val="24"/>
        </w:rPr>
      </w:pPr>
    </w:p>
    <w:p w:rsidR="00B06C16" w:rsidRPr="009D2370" w:rsidRDefault="00B06C16" w:rsidP="00B06C16">
      <w:pPr>
        <w:rPr>
          <w:rFonts w:ascii="Tahoma" w:eastAsia="Times New Roman" w:hAnsi="Tahoma" w:cs="Tahoma"/>
          <w:color w:val="002060"/>
          <w:sz w:val="24"/>
          <w:szCs w:val="24"/>
        </w:rPr>
      </w:pPr>
      <w:r w:rsidRPr="009D2370">
        <w:rPr>
          <w:rFonts w:ascii="Tahoma" w:hAnsi="Tahoma" w:cs="Tahoma"/>
          <w:color w:val="002060"/>
          <w:sz w:val="24"/>
          <w:szCs w:val="24"/>
          <w:lang w:val="mn-MN"/>
        </w:rPr>
        <w:t>Хүснэгт</w:t>
      </w:r>
      <w:r w:rsid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1.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Хөрөнгө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оруулалтын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бүтэц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,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санхүүжилтийн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эх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үүсвэрээр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,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оны</w:t>
      </w:r>
      <w:proofErr w:type="spellEnd"/>
      <w:r w:rsidRPr="009D2370">
        <w:rPr>
          <w:rFonts w:ascii="Tahoma" w:eastAsia="Times New Roman" w:hAnsi="Tahoma" w:cs="Tahoma"/>
          <w:color w:val="002060"/>
          <w:sz w:val="24"/>
          <w:szCs w:val="24"/>
        </w:rPr>
        <w:t xml:space="preserve"> </w:t>
      </w:r>
      <w:proofErr w:type="spellStart"/>
      <w:r w:rsidRPr="009D2370">
        <w:rPr>
          <w:rFonts w:ascii="Tahoma" w:eastAsia="Times New Roman" w:hAnsi="Tahoma" w:cs="Tahoma"/>
          <w:color w:val="002060"/>
          <w:sz w:val="24"/>
          <w:szCs w:val="24"/>
        </w:rPr>
        <w:t>үнээр</w:t>
      </w:r>
      <w:proofErr w:type="spellEnd"/>
    </w:p>
    <w:p w:rsidR="00A2490A" w:rsidRPr="009D2370" w:rsidRDefault="00A2490A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tbl>
      <w:tblPr>
        <w:tblW w:w="10493" w:type="dxa"/>
        <w:tblInd w:w="93" w:type="dxa"/>
        <w:tblLayout w:type="fixed"/>
        <w:tblLook w:val="04A0"/>
      </w:tblPr>
      <w:tblGrid>
        <w:gridCol w:w="4977"/>
        <w:gridCol w:w="919"/>
        <w:gridCol w:w="919"/>
        <w:gridCol w:w="920"/>
        <w:gridCol w:w="919"/>
        <w:gridCol w:w="919"/>
        <w:gridCol w:w="920"/>
      </w:tblGrid>
      <w:tr w:rsidR="009D2370" w:rsidRPr="009D2370" w:rsidTr="00CA3F27">
        <w:trPr>
          <w:trHeight w:val="641"/>
        </w:trPr>
        <w:tc>
          <w:tcPr>
            <w:tcW w:w="4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9D2370" w:rsidRDefault="009D2370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Эх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үүсвэр</w:t>
            </w:r>
            <w:proofErr w:type="spellEnd"/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9D2370" w:rsidRDefault="009D2370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Хөрөнгө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оруулалт,тэрбум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төг</w:t>
            </w:r>
            <w:proofErr w:type="spellEnd"/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9D2370" w:rsidRPr="009D2370" w:rsidRDefault="009D2370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Хөрөнгө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оруулалтын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бүтэц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хувиар</w:t>
            </w:r>
            <w:proofErr w:type="spellEnd"/>
          </w:p>
        </w:tc>
      </w:tr>
      <w:tr w:rsidR="009D2370" w:rsidRPr="00CA3F27" w:rsidTr="00CA3F27">
        <w:trPr>
          <w:trHeight w:val="437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370" w:rsidRPr="009D2370" w:rsidRDefault="009D2370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423368" w:rsidRDefault="009D2370" w:rsidP="00423368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201</w:t>
            </w:r>
            <w:r w:rsidR="00423368"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423368" w:rsidRDefault="00423368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423368" w:rsidRDefault="00423368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2014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423368" w:rsidRDefault="00423368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423368" w:rsidRDefault="00423368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D2370" w:rsidRPr="00423368" w:rsidRDefault="00423368" w:rsidP="009D2370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2014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4301.1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4778.0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4508.1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100.0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100.0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Дотоод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3073.7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2986.7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3998.3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71.5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62.5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88.7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Улсын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төсвийн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хөрөнгөөр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725.9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413.9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17.3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16.9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8.7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0.4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Нийслэлийн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төсвийн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хөрөнгө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оруулалт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181.2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239.6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197.8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4.4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Нийслэлийн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төсөв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168.3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134.5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87.8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1.9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Орон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нутгийн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хөгжлийн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нэгдсэн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сан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27.8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32.1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0.7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Нийслэлийн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замын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сан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12.9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24.1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0.5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дамжиж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хийгдсэн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хөрөнгө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оруулалт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61.8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53.8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1.2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AD1245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Бусад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/ ААНБ-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уудын хөрөнгө оруулалт</w:t>
            </w: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2166.6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2333.2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3783.2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50.4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48.8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83.9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Гадаад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1227.4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1791.3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509.8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28.5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11.3</w:t>
            </w:r>
          </w:p>
        </w:tc>
      </w:tr>
      <w:tr w:rsidR="00423368" w:rsidRPr="00CA3F27" w:rsidTr="00CA3F27">
        <w:trPr>
          <w:trHeight w:val="4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Pr="009D2370" w:rsidRDefault="00423368" w:rsidP="009D2370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       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Гадаадын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шууд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хөрөнгө</w:t>
            </w:r>
            <w:proofErr w:type="spellEnd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D2370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оруулалт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1227.4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1791.3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509.8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28.5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37.5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23368" w:rsidRDefault="00423368">
            <w:pPr>
              <w:jc w:val="right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11.3</w:t>
            </w:r>
          </w:p>
        </w:tc>
      </w:tr>
    </w:tbl>
    <w:p w:rsidR="00B06C16" w:rsidRPr="009D2370" w:rsidRDefault="00B06C16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F80B89" w:rsidRDefault="00F80B89" w:rsidP="006279D0">
      <w:pPr>
        <w:jc w:val="both"/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341898" w:rsidRDefault="00F80B89" w:rsidP="006279D0">
      <w:pPr>
        <w:jc w:val="both"/>
        <w:rPr>
          <w:rFonts w:ascii="Tahoma" w:hAnsi="Tahoma" w:cs="Tahoma"/>
          <w:color w:val="002060"/>
          <w:sz w:val="24"/>
          <w:szCs w:val="24"/>
          <w:lang w:val="mn-MN"/>
        </w:rPr>
      </w:pPr>
      <w:r>
        <w:rPr>
          <w:rFonts w:ascii="Tahoma" w:hAnsi="Tahoma" w:cs="Tahoma"/>
          <w:color w:val="002060"/>
          <w:sz w:val="24"/>
          <w:szCs w:val="24"/>
          <w:lang w:val="mn-MN"/>
        </w:rPr>
        <w:t>Н</w:t>
      </w:r>
      <w:r w:rsidR="006279D0" w:rsidRPr="009D2370">
        <w:rPr>
          <w:rFonts w:ascii="Tahoma" w:hAnsi="Tahoma" w:cs="Tahoma"/>
          <w:color w:val="002060"/>
          <w:sz w:val="24"/>
          <w:szCs w:val="24"/>
          <w:lang w:val="mn-MN"/>
        </w:rPr>
        <w:t>ийслэлд</w:t>
      </w:r>
      <w:r w:rsidR="0090190F">
        <w:rPr>
          <w:rFonts w:ascii="Tahoma" w:hAnsi="Tahoma" w:cs="Tahoma"/>
          <w:color w:val="002060"/>
          <w:sz w:val="24"/>
          <w:szCs w:val="24"/>
          <w:lang w:val="mn-MN"/>
        </w:rPr>
        <w:t xml:space="preserve"> </w:t>
      </w:r>
      <w:r w:rsidR="006279D0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</w:t>
      </w:r>
      <w:r w:rsidR="004E7D54">
        <w:rPr>
          <w:rFonts w:ascii="Tahoma" w:hAnsi="Tahoma" w:cs="Tahoma"/>
          <w:color w:val="002060"/>
          <w:sz w:val="24"/>
          <w:szCs w:val="24"/>
          <w:lang w:val="mn-MN"/>
        </w:rPr>
        <w:t xml:space="preserve">шинээр </w:t>
      </w:r>
      <w:r w:rsidR="006279D0" w:rsidRPr="009D2370">
        <w:rPr>
          <w:rFonts w:ascii="Tahoma" w:hAnsi="Tahoma" w:cs="Tahoma"/>
          <w:color w:val="002060"/>
          <w:sz w:val="24"/>
          <w:szCs w:val="24"/>
          <w:lang w:val="mn-MN"/>
        </w:rPr>
        <w:t>бүртгэгдсэн гадаадын хөрөнгө оруулалттай аж ахуйн нэгжийн тоо</w:t>
      </w:r>
      <w:r w:rsidR="00726FD9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</w:t>
      </w:r>
      <w:r>
        <w:rPr>
          <w:rFonts w:ascii="Tahoma" w:hAnsi="Tahoma" w:cs="Tahoma"/>
          <w:color w:val="002060"/>
          <w:sz w:val="24"/>
          <w:szCs w:val="24"/>
          <w:lang w:val="mn-MN"/>
        </w:rPr>
        <w:t>201</w:t>
      </w:r>
      <w:r w:rsidR="005641EA">
        <w:rPr>
          <w:rFonts w:ascii="Tahoma" w:hAnsi="Tahoma" w:cs="Tahoma"/>
          <w:color w:val="002060"/>
          <w:sz w:val="24"/>
          <w:szCs w:val="24"/>
        </w:rPr>
        <w:t>4</w:t>
      </w:r>
      <w:r>
        <w:rPr>
          <w:rFonts w:ascii="Tahoma" w:hAnsi="Tahoma" w:cs="Tahoma"/>
          <w:color w:val="002060"/>
          <w:sz w:val="24"/>
          <w:szCs w:val="24"/>
          <w:lang w:val="mn-MN"/>
        </w:rPr>
        <w:t xml:space="preserve"> онд </w:t>
      </w:r>
      <w:r w:rsidR="005641EA">
        <w:rPr>
          <w:rFonts w:ascii="Tahoma" w:hAnsi="Tahoma" w:cs="Tahoma"/>
          <w:color w:val="002060"/>
          <w:sz w:val="24"/>
          <w:szCs w:val="24"/>
        </w:rPr>
        <w:t>554</w:t>
      </w:r>
      <w:r w:rsidR="00726FD9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болж өмнөх онтой харьцуулахад </w:t>
      </w:r>
      <w:r w:rsidR="006279D0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</w:t>
      </w:r>
      <w:r w:rsidR="005641EA">
        <w:rPr>
          <w:rFonts w:ascii="Tahoma" w:hAnsi="Tahoma" w:cs="Tahoma"/>
          <w:color w:val="002060"/>
          <w:sz w:val="24"/>
          <w:szCs w:val="24"/>
        </w:rPr>
        <w:t>32</w:t>
      </w:r>
      <w:r w:rsidR="006279D0" w:rsidRPr="009D2370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5641EA">
        <w:rPr>
          <w:rFonts w:ascii="Tahoma" w:hAnsi="Tahoma" w:cs="Tahoma"/>
          <w:color w:val="002060"/>
          <w:sz w:val="24"/>
          <w:szCs w:val="24"/>
        </w:rPr>
        <w:t>9</w:t>
      </w:r>
      <w:r w:rsidR="006279D0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хувиар 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өсчээ</w:t>
      </w:r>
      <w:r w:rsidR="00EC5327" w:rsidRPr="009D2370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D15C6C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</w:t>
      </w:r>
    </w:p>
    <w:p w:rsidR="00EA505A" w:rsidRDefault="00EA505A" w:rsidP="006279D0">
      <w:pPr>
        <w:jc w:val="both"/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84744" w:rsidRDefault="00E84744" w:rsidP="00E84744">
      <w:pPr>
        <w:rPr>
          <w:rFonts w:ascii="Tahoma" w:hAnsi="Tahoma" w:cs="Tahoma"/>
          <w:color w:val="002060"/>
          <w:sz w:val="24"/>
          <w:szCs w:val="24"/>
          <w:lang w:val="mn-MN"/>
        </w:rPr>
      </w:pPr>
      <w:r>
        <w:rPr>
          <w:rFonts w:ascii="Tahoma" w:hAnsi="Tahoma" w:cs="Tahoma"/>
          <w:color w:val="002060"/>
          <w:sz w:val="24"/>
          <w:szCs w:val="24"/>
          <w:lang w:val="mn-MN"/>
        </w:rPr>
        <w:t>Хүснэгт</w:t>
      </w:r>
      <w:r w:rsidR="00CA3F27">
        <w:rPr>
          <w:rFonts w:ascii="Tahoma" w:hAnsi="Tahoma" w:cs="Tahoma"/>
          <w:color w:val="002060"/>
          <w:sz w:val="24"/>
          <w:szCs w:val="24"/>
          <w:lang w:val="mn-MN"/>
        </w:rPr>
        <w:t xml:space="preserve"> 2. </w:t>
      </w:r>
      <w:r>
        <w:rPr>
          <w:rFonts w:ascii="Tahoma" w:hAnsi="Tahoma" w:cs="Tahoma"/>
          <w:color w:val="002060"/>
          <w:sz w:val="24"/>
          <w:szCs w:val="24"/>
          <w:lang w:val="mn-MN"/>
        </w:rPr>
        <w:t>Г</w:t>
      </w:r>
      <w:r w:rsidR="00CA3F27">
        <w:rPr>
          <w:rFonts w:ascii="Tahoma" w:hAnsi="Tahoma" w:cs="Tahoma"/>
          <w:color w:val="002060"/>
          <w:sz w:val="24"/>
          <w:szCs w:val="24"/>
          <w:lang w:val="mn-MN"/>
        </w:rPr>
        <w:t xml:space="preserve">адаадын </w:t>
      </w:r>
      <w:r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хөрөнгө оруулалттай ААН-ын  тоо, </w:t>
      </w:r>
      <w:r>
        <w:rPr>
          <w:rFonts w:ascii="Tahoma" w:hAnsi="Tahoma" w:cs="Tahoma"/>
          <w:color w:val="002060"/>
          <w:sz w:val="24"/>
          <w:szCs w:val="24"/>
          <w:lang w:val="mn-MN"/>
        </w:rPr>
        <w:t>улс орноор</w:t>
      </w:r>
    </w:p>
    <w:p w:rsidR="00E84744" w:rsidRDefault="00E84744" w:rsidP="00E84744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tbl>
      <w:tblPr>
        <w:tblW w:w="10157" w:type="dxa"/>
        <w:tblCellMar>
          <w:left w:w="0" w:type="dxa"/>
          <w:right w:w="0" w:type="dxa"/>
        </w:tblCellMar>
        <w:tblLook w:val="04A0"/>
      </w:tblPr>
      <w:tblGrid>
        <w:gridCol w:w="1250"/>
        <w:gridCol w:w="3907"/>
        <w:gridCol w:w="1250"/>
        <w:gridCol w:w="1250"/>
        <w:gridCol w:w="1250"/>
        <w:gridCol w:w="1250"/>
      </w:tblGrid>
      <w:tr w:rsidR="005D24AE" w:rsidTr="005D24AE">
        <w:trPr>
          <w:trHeight w:val="316"/>
        </w:trPr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Д/д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УЛС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БНХАУ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301</w:t>
            </w:r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БНСУ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100</w:t>
            </w:r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Британи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Виржини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арал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14</w:t>
            </w:r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Гонконг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13</w:t>
            </w:r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Япон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16</w:t>
            </w:r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Сингапур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15</w:t>
            </w:r>
          </w:p>
        </w:tc>
      </w:tr>
      <w:tr w:rsidR="005D24AE" w:rsidTr="005D24AE">
        <w:trPr>
          <w:trHeight w:val="40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Бусад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орнууд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95</w:t>
            </w:r>
          </w:p>
        </w:tc>
      </w:tr>
      <w:tr w:rsidR="005D24AE" w:rsidTr="005D24AE">
        <w:trPr>
          <w:trHeight w:val="409"/>
        </w:trPr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4AE" w:rsidRDefault="005D24AE" w:rsidP="005D24AE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554</w:t>
            </w:r>
          </w:p>
        </w:tc>
      </w:tr>
    </w:tbl>
    <w:p w:rsidR="00E84744" w:rsidRPr="009D2370" w:rsidRDefault="00CA3F27" w:rsidP="00E84744">
      <w:pPr>
        <w:jc w:val="both"/>
        <w:rPr>
          <w:rFonts w:ascii="Tahoma" w:hAnsi="Tahoma" w:cs="Tahoma"/>
          <w:color w:val="002060"/>
          <w:sz w:val="24"/>
          <w:szCs w:val="24"/>
          <w:lang w:val="mn-MN"/>
        </w:rPr>
      </w:pPr>
      <w:r>
        <w:rPr>
          <w:rFonts w:ascii="Tahoma" w:hAnsi="Tahoma" w:cs="Tahoma"/>
          <w:color w:val="002060"/>
          <w:sz w:val="24"/>
          <w:szCs w:val="24"/>
          <w:lang w:val="mn-MN"/>
        </w:rPr>
        <w:lastRenderedPageBreak/>
        <w:t>Ш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>инээр б</w:t>
      </w:r>
      <w:r>
        <w:rPr>
          <w:rFonts w:ascii="Tahoma" w:hAnsi="Tahoma" w:cs="Tahoma"/>
          <w:color w:val="002060"/>
          <w:sz w:val="24"/>
          <w:szCs w:val="24"/>
          <w:lang w:val="mn-MN"/>
        </w:rPr>
        <w:t xml:space="preserve">үртгэгдсэн 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 xml:space="preserve"> гадаадын хөрөнгө  оруулалттай ААН-үүдийн  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54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3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 xml:space="preserve"> хувийг БНХАУ, 1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8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1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 xml:space="preserve"> хувийг БНСУ, 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2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3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 xml:space="preserve"> хувийг Гонконг улс, 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2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5641EA">
        <w:rPr>
          <w:rFonts w:ascii="Tahoma" w:hAnsi="Tahoma" w:cs="Tahoma"/>
          <w:color w:val="002060"/>
          <w:sz w:val="24"/>
          <w:szCs w:val="24"/>
          <w:lang w:val="mn-MN"/>
        </w:rPr>
        <w:t>9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 xml:space="preserve"> хувийг Япон улс, үлдсэн хувийг бусад улс </w:t>
      </w:r>
      <w:r>
        <w:rPr>
          <w:rFonts w:ascii="Tahoma" w:hAnsi="Tahoma" w:cs="Tahoma"/>
          <w:color w:val="002060"/>
          <w:sz w:val="24"/>
          <w:szCs w:val="24"/>
          <w:lang w:val="mn-MN"/>
        </w:rPr>
        <w:t>орнуудын аж ахуйн нэгж, байгууллагууд эзэлж байна</w:t>
      </w:r>
      <w:r w:rsidR="00E84744">
        <w:rPr>
          <w:rFonts w:ascii="Tahoma" w:hAnsi="Tahoma" w:cs="Tahoma"/>
          <w:color w:val="002060"/>
          <w:sz w:val="24"/>
          <w:szCs w:val="24"/>
          <w:lang w:val="mn-MN"/>
        </w:rPr>
        <w:t>.</w:t>
      </w:r>
    </w:p>
    <w:p w:rsidR="0090190F" w:rsidRDefault="0090190F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5D24AE" w:rsidP="00EA505A">
      <w:pPr>
        <w:rPr>
          <w:rFonts w:ascii="Tahoma" w:hAnsi="Tahoma" w:cs="Tahoma"/>
          <w:color w:val="002060"/>
          <w:sz w:val="24"/>
          <w:szCs w:val="24"/>
          <w:lang w:val="mn-MN"/>
        </w:rPr>
      </w:pPr>
      <w:r>
        <w:rPr>
          <w:rFonts w:ascii="Tahoma" w:hAnsi="Tahoma" w:cs="Tahoma"/>
          <w:color w:val="002060"/>
          <w:sz w:val="24"/>
          <w:szCs w:val="24"/>
          <w:lang w:val="mn-MN"/>
        </w:rPr>
        <w:t xml:space="preserve">Хүснэгт 3 </w:t>
      </w:r>
      <w:r w:rsidR="00EA505A">
        <w:rPr>
          <w:rFonts w:ascii="Tahoma" w:hAnsi="Tahoma" w:cs="Tahoma"/>
          <w:color w:val="002060"/>
          <w:sz w:val="24"/>
          <w:szCs w:val="24"/>
          <w:lang w:val="mn-MN"/>
        </w:rPr>
        <w:t>.</w:t>
      </w:r>
      <w:r w:rsidR="00EA505A" w:rsidRPr="009D2370">
        <w:rPr>
          <w:rFonts w:ascii="Tahoma" w:hAnsi="Tahoma" w:cs="Tahoma"/>
          <w:color w:val="002060"/>
          <w:sz w:val="24"/>
          <w:szCs w:val="24"/>
          <w:lang w:val="mn-MN"/>
        </w:rPr>
        <w:t xml:space="preserve"> </w:t>
      </w:r>
      <w:r>
        <w:rPr>
          <w:rFonts w:ascii="Tahoma" w:hAnsi="Tahoma" w:cs="Tahoma"/>
          <w:color w:val="002060"/>
          <w:sz w:val="24"/>
          <w:szCs w:val="24"/>
          <w:lang w:val="mn-MN"/>
        </w:rPr>
        <w:t xml:space="preserve"> Гадаадын </w:t>
      </w:r>
      <w:r w:rsidRPr="009D2370">
        <w:rPr>
          <w:rFonts w:ascii="Tahoma" w:hAnsi="Tahoma" w:cs="Tahoma"/>
          <w:color w:val="002060"/>
          <w:sz w:val="24"/>
          <w:szCs w:val="24"/>
          <w:lang w:val="mn-MN"/>
        </w:rPr>
        <w:t>хөрөнгө оруулалттай ААН-ын  тоо,</w:t>
      </w:r>
      <w:r>
        <w:rPr>
          <w:rFonts w:ascii="Tahoma" w:hAnsi="Tahoma" w:cs="Tahoma"/>
          <w:color w:val="002060"/>
          <w:sz w:val="24"/>
          <w:szCs w:val="24"/>
          <w:lang w:val="mn-MN"/>
        </w:rPr>
        <w:t xml:space="preserve"> эдийн засгийн салбараар</w:t>
      </w:r>
    </w:p>
    <w:p w:rsidR="005D24AE" w:rsidRPr="009D2370" w:rsidRDefault="005D24AE" w:rsidP="00EA505A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tbl>
      <w:tblPr>
        <w:tblW w:w="10481" w:type="dxa"/>
        <w:tblInd w:w="93" w:type="dxa"/>
        <w:tblLook w:val="04A0"/>
      </w:tblPr>
      <w:tblGrid>
        <w:gridCol w:w="833"/>
        <w:gridCol w:w="6316"/>
        <w:gridCol w:w="833"/>
        <w:gridCol w:w="833"/>
        <w:gridCol w:w="833"/>
        <w:gridCol w:w="833"/>
      </w:tblGrid>
      <w:tr w:rsidR="005D24AE" w:rsidRPr="005D24AE" w:rsidTr="005D24AE">
        <w:trPr>
          <w:trHeight w:val="739"/>
        </w:trPr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Д/д</w:t>
            </w:r>
          </w:p>
        </w:tc>
        <w:tc>
          <w:tcPr>
            <w:tcW w:w="6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Эдийн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засгийн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үйл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ажиллагааны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салбар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2011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2012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2013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2014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он</w:t>
            </w:r>
            <w:proofErr w:type="spellEnd"/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Худалдаа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нийтийн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хоол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865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686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384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2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Боловсруулах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үйлдвэрлэл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7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3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Бусад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65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Геологи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уул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уурхайн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эрэл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хайгуул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олборлолт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газрын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тосны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салбар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10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5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Барилга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угсралт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инженерийн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байгууламж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барилгын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материалын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үйлдвэрлэл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29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6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Аялал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жуулчлал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8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7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Мал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аж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ахуйн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гаралтай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түүхий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эдийн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боловсруулалт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4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Тээвэр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10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9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Банк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санхүүгийн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үйлчилгээ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10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Мэдээлэл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холбооны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технологи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7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11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Соёл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урлаг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боловсрол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шинжлэх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ухаан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хэвлэл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4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12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Эрүүл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мэнд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гоо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сайхны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үйлчилгээ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</w:t>
            </w:r>
          </w:p>
        </w:tc>
      </w:tr>
      <w:tr w:rsidR="005D24AE" w:rsidRPr="005D24AE" w:rsidTr="005D24AE">
        <w:trPr>
          <w:trHeight w:val="3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lang w:val="mn-MN"/>
              </w:rPr>
              <w:t>13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ХАА,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газар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тариалан</w:t>
            </w:r>
            <w:proofErr w:type="spellEnd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, МАА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</w:t>
            </w:r>
          </w:p>
        </w:tc>
      </w:tr>
      <w:tr w:rsidR="005D24AE" w:rsidRPr="005D24AE" w:rsidTr="005D24AE">
        <w:trPr>
          <w:trHeight w:val="355"/>
        </w:trPr>
        <w:tc>
          <w:tcPr>
            <w:tcW w:w="7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926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770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417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D24AE" w:rsidRPr="005D24AE" w:rsidRDefault="005D24AE" w:rsidP="005D24AE">
            <w:pPr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5D24A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554</w:t>
            </w:r>
          </w:p>
        </w:tc>
      </w:tr>
    </w:tbl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p w:rsidR="00EA505A" w:rsidRDefault="00EA505A" w:rsidP="007048D9">
      <w:pPr>
        <w:rPr>
          <w:rFonts w:ascii="Tahoma" w:hAnsi="Tahoma" w:cs="Tahoma"/>
          <w:color w:val="002060"/>
          <w:sz w:val="24"/>
          <w:szCs w:val="24"/>
          <w:lang w:val="mn-MN"/>
        </w:rPr>
      </w:pPr>
    </w:p>
    <w:sectPr w:rsidR="00EA505A" w:rsidSect="000B05CB"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F5B"/>
    <w:rsid w:val="000079E6"/>
    <w:rsid w:val="00031273"/>
    <w:rsid w:val="000406D4"/>
    <w:rsid w:val="000857A1"/>
    <w:rsid w:val="00090D2B"/>
    <w:rsid w:val="000B05CB"/>
    <w:rsid w:val="000D3D6B"/>
    <w:rsid w:val="001466CF"/>
    <w:rsid w:val="001D740D"/>
    <w:rsid w:val="00202FC2"/>
    <w:rsid w:val="002916AC"/>
    <w:rsid w:val="002938FC"/>
    <w:rsid w:val="00297E14"/>
    <w:rsid w:val="002B59E0"/>
    <w:rsid w:val="002B5D22"/>
    <w:rsid w:val="002D6E3D"/>
    <w:rsid w:val="002F29C9"/>
    <w:rsid w:val="00301CAE"/>
    <w:rsid w:val="00341898"/>
    <w:rsid w:val="0037693B"/>
    <w:rsid w:val="00377971"/>
    <w:rsid w:val="00404223"/>
    <w:rsid w:val="00422E5E"/>
    <w:rsid w:val="00423368"/>
    <w:rsid w:val="00447BA5"/>
    <w:rsid w:val="00492115"/>
    <w:rsid w:val="004E7D54"/>
    <w:rsid w:val="00527FF5"/>
    <w:rsid w:val="005641EA"/>
    <w:rsid w:val="005B64C9"/>
    <w:rsid w:val="005D24AE"/>
    <w:rsid w:val="006279D0"/>
    <w:rsid w:val="00687945"/>
    <w:rsid w:val="007048D9"/>
    <w:rsid w:val="00726FD9"/>
    <w:rsid w:val="007D2AAF"/>
    <w:rsid w:val="007F60A5"/>
    <w:rsid w:val="0080036D"/>
    <w:rsid w:val="00827601"/>
    <w:rsid w:val="0090190F"/>
    <w:rsid w:val="009D2370"/>
    <w:rsid w:val="00A2490A"/>
    <w:rsid w:val="00A52109"/>
    <w:rsid w:val="00A64C7D"/>
    <w:rsid w:val="00AB2BAE"/>
    <w:rsid w:val="00AD1245"/>
    <w:rsid w:val="00B06C16"/>
    <w:rsid w:val="00B27891"/>
    <w:rsid w:val="00B63004"/>
    <w:rsid w:val="00BA5647"/>
    <w:rsid w:val="00BB2395"/>
    <w:rsid w:val="00BF31FC"/>
    <w:rsid w:val="00C162ED"/>
    <w:rsid w:val="00C60E37"/>
    <w:rsid w:val="00CA0C99"/>
    <w:rsid w:val="00CA3F27"/>
    <w:rsid w:val="00CD2EE2"/>
    <w:rsid w:val="00D061D4"/>
    <w:rsid w:val="00D15C6C"/>
    <w:rsid w:val="00D61EAE"/>
    <w:rsid w:val="00D71783"/>
    <w:rsid w:val="00D83777"/>
    <w:rsid w:val="00E610AC"/>
    <w:rsid w:val="00E64C53"/>
    <w:rsid w:val="00E84744"/>
    <w:rsid w:val="00EA505A"/>
    <w:rsid w:val="00EB5055"/>
    <w:rsid w:val="00EC5327"/>
    <w:rsid w:val="00ED6F7F"/>
    <w:rsid w:val="00F42BC4"/>
    <w:rsid w:val="00F44043"/>
    <w:rsid w:val="00F71F5B"/>
    <w:rsid w:val="00F80B89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5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1D42-0C1F-464A-B45F-C4F27851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Gansukh</dc:creator>
  <cp:lastModifiedBy>Gansukh</cp:lastModifiedBy>
  <cp:revision>30</cp:revision>
  <dcterms:created xsi:type="dcterms:W3CDTF">2011-10-19T02:43:00Z</dcterms:created>
  <dcterms:modified xsi:type="dcterms:W3CDTF">2015-07-31T03:39:00Z</dcterms:modified>
</cp:coreProperties>
</file>